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432FFE" w14:textId="72881AC9" w:rsidR="00923413" w:rsidRDefault="002C5E3B" w:rsidP="00E14C2B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8381E44" wp14:editId="3F633F31">
            <wp:simplePos x="0" y="0"/>
            <wp:positionH relativeFrom="column">
              <wp:posOffset>3810</wp:posOffset>
            </wp:positionH>
            <wp:positionV relativeFrom="paragraph">
              <wp:posOffset>6985</wp:posOffset>
            </wp:positionV>
            <wp:extent cx="5270400" cy="2962800"/>
            <wp:effectExtent l="0" t="0" r="635" b="0"/>
            <wp:wrapTopAndBottom/>
            <wp:docPr id="127002799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027999" name="图片 1270027999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296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695FB9" w14:textId="022E77E8" w:rsidR="00E14C2B" w:rsidRPr="008D1599" w:rsidRDefault="00923413" w:rsidP="00E14C2B">
      <w:pPr>
        <w:rPr>
          <w:rFonts w:ascii="Minion Pro" w:hAnsi="Minion Pro" w:cs="Minion Pro"/>
          <w:sz w:val="20"/>
          <w:szCs w:val="20"/>
        </w:rPr>
      </w:pPr>
      <w:r w:rsidRPr="008D1599">
        <w:rPr>
          <w:rFonts w:ascii="Minion Pro" w:hAnsi="Minion Pro" w:cs="Minion Pro"/>
          <w:b/>
          <w:bCs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318FAEA9" wp14:editId="7C8F7EE0">
            <wp:simplePos x="0" y="0"/>
            <wp:positionH relativeFrom="column">
              <wp:posOffset>1090295</wp:posOffset>
            </wp:positionH>
            <wp:positionV relativeFrom="paragraph">
              <wp:posOffset>1338872</wp:posOffset>
            </wp:positionV>
            <wp:extent cx="2973600" cy="3202338"/>
            <wp:effectExtent l="0" t="0" r="0" b="0"/>
            <wp:wrapTopAndBottom/>
            <wp:docPr id="11272399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239936" name="图片 112723993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600" cy="32023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D1599">
        <w:rPr>
          <w:rFonts w:ascii="Minion Pro" w:hAnsi="Minion Pro" w:cs="Minion Pro"/>
          <w:b/>
          <w:bCs/>
          <w:sz w:val="20"/>
          <w:szCs w:val="20"/>
        </w:rPr>
        <w:t xml:space="preserve">Supplementary Figure S1. </w:t>
      </w:r>
      <w:r w:rsidRPr="008D1599">
        <w:rPr>
          <w:rFonts w:ascii="Minion Pro" w:hAnsi="Minion Pro" w:cs="Minion Pro"/>
          <w:sz w:val="20"/>
          <w:szCs w:val="20"/>
        </w:rPr>
        <w:t xml:space="preserve">Pan-cancer expression profile of UCP2 across 31 TCGA cancer types based on GEPIA2.Box plots show UCP2 expression levels [log₂ (TPM + 1)] in tumor (red) and matched normal tissues (gray). Normal tissue data were derived from matched TCGA adjacent-normal samples and </w:t>
      </w:r>
      <w:proofErr w:type="spellStart"/>
      <w:r w:rsidRPr="008D1599">
        <w:rPr>
          <w:rFonts w:ascii="Minion Pro" w:hAnsi="Minion Pro" w:cs="Minion Pro"/>
          <w:sz w:val="20"/>
          <w:szCs w:val="20"/>
        </w:rPr>
        <w:t>GTEx</w:t>
      </w:r>
      <w:proofErr w:type="spellEnd"/>
      <w:r w:rsidRPr="008D1599">
        <w:rPr>
          <w:rFonts w:ascii="Minion Pro" w:hAnsi="Minion Pro" w:cs="Minion Pro"/>
          <w:sz w:val="20"/>
          <w:szCs w:val="20"/>
        </w:rPr>
        <w:t xml:space="preserve"> normal tissues as implemented in the GEPIA2 database. </w:t>
      </w:r>
      <w:r w:rsidRPr="008D1599">
        <w:rPr>
          <w:rFonts w:ascii="Minion Pro" w:eastAsia="Times New Roman" w:hAnsi="Minion Pro" w:cs="Times New Roman"/>
          <w:color w:val="000000"/>
          <w:kern w:val="0"/>
          <w:sz w:val="20"/>
          <w:szCs w:val="20"/>
          <w:lang w:eastAsia="de-DE" w:bidi="en-US"/>
        </w:rPr>
        <w:t>Asterisks</w:t>
      </w:r>
      <w:r w:rsidRPr="008D1599">
        <w:rPr>
          <w:rFonts w:ascii="Minion Pro" w:hAnsi="Minion Pro" w:cs="Minion Pro"/>
          <w:sz w:val="20"/>
          <w:szCs w:val="20"/>
        </w:rPr>
        <w:t xml:space="preserve"> indicate statistically significant differential expression (|</w:t>
      </w:r>
      <w:proofErr w:type="spellStart"/>
      <w:r w:rsidRPr="008D1599">
        <w:rPr>
          <w:rFonts w:ascii="Minion Pro" w:hAnsi="Minion Pro" w:cs="Minion Pro"/>
          <w:sz w:val="20"/>
          <w:szCs w:val="20"/>
        </w:rPr>
        <w:t>log₂FC</w:t>
      </w:r>
      <w:proofErr w:type="spellEnd"/>
      <w:r w:rsidRPr="008D1599">
        <w:rPr>
          <w:rFonts w:ascii="Minion Pro" w:hAnsi="Minion Pro" w:cs="Minion Pro"/>
          <w:sz w:val="20"/>
          <w:szCs w:val="20"/>
        </w:rPr>
        <w:t>| &gt; 1, p-value cutoff = 0.01). The red dashed box highlights the two glioma subtypes: low-grade glioma (LGG) and glioblastoma multiforme (GBM).</w:t>
      </w:r>
    </w:p>
    <w:p w14:paraId="4BD186C9" w14:textId="060B7FB2" w:rsidR="00923413" w:rsidRDefault="00923413" w:rsidP="00E14C2B">
      <w:pPr>
        <w:rPr>
          <w:rFonts w:hint="eastAsia"/>
        </w:rPr>
      </w:pPr>
    </w:p>
    <w:p w14:paraId="0DD875C9" w14:textId="64FD2273" w:rsidR="00923413" w:rsidRDefault="00923413" w:rsidP="00923413">
      <w:pPr>
        <w:spacing w:after="60"/>
        <w:rPr>
          <w:rFonts w:ascii="Times New Roman" w:hAnsi="Times New Roman" w:cs="Times New Roman"/>
          <w:sz w:val="20"/>
          <w:szCs w:val="20"/>
        </w:rPr>
      </w:pPr>
      <w:r w:rsidRPr="008D1599">
        <w:rPr>
          <w:rFonts w:ascii="Minion Pro" w:hAnsi="Minion Pro" w:cs="Minion Pro"/>
          <w:b/>
          <w:bCs/>
          <w:sz w:val="20"/>
          <w:szCs w:val="20"/>
        </w:rPr>
        <w:t>Supplementary Figure S2</w:t>
      </w:r>
      <w:r>
        <w:rPr>
          <w:rFonts w:ascii="Minion Pro" w:hAnsi="Minion Pro" w:cs="Minion Pro"/>
          <w:sz w:val="20"/>
          <w:szCs w:val="20"/>
        </w:rPr>
        <w:t xml:space="preserve">. UCP2 expression in TCGA glioma versus </w:t>
      </w:r>
      <w:proofErr w:type="spellStart"/>
      <w:r>
        <w:rPr>
          <w:rFonts w:ascii="Minion Pro" w:hAnsi="Minion Pro" w:cs="Minion Pro"/>
          <w:sz w:val="20"/>
          <w:szCs w:val="20"/>
        </w:rPr>
        <w:t>GTEx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normal brain </w:t>
      </w:r>
      <w:proofErr w:type="spellStart"/>
      <w:proofErr w:type="gramStart"/>
      <w:r>
        <w:rPr>
          <w:rFonts w:ascii="Minion Pro" w:hAnsi="Minion Pro" w:cs="Minion Pro"/>
          <w:sz w:val="20"/>
          <w:szCs w:val="20"/>
        </w:rPr>
        <w:t>tissue.Box</w:t>
      </w:r>
      <w:proofErr w:type="spellEnd"/>
      <w:proofErr w:type="gramEnd"/>
      <w:r>
        <w:rPr>
          <w:rFonts w:ascii="Minion Pro" w:hAnsi="Minion Pro" w:cs="Minion Pro"/>
          <w:sz w:val="20"/>
          <w:szCs w:val="20"/>
        </w:rPr>
        <w:t xml:space="preserve"> plots show UCP2 expression levels [log</w:t>
      </w:r>
      <w:r>
        <w:rPr>
          <w:rFonts w:ascii="Minion Pro" w:hAnsi="Minion Pro" w:cs="Minion Pro"/>
          <w:sz w:val="20"/>
          <w:szCs w:val="20"/>
          <w:vertAlign w:val="superscript"/>
        </w:rPr>
        <w:t>₂</w:t>
      </w:r>
      <w:r>
        <w:rPr>
          <w:rFonts w:ascii="Minion Pro" w:hAnsi="Minion Pro" w:cs="Minion Pro"/>
          <w:sz w:val="20"/>
          <w:szCs w:val="20"/>
        </w:rPr>
        <w:t xml:space="preserve"> (TPM + 1)] in </w:t>
      </w:r>
      <w:proofErr w:type="spellStart"/>
      <w:r>
        <w:rPr>
          <w:rFonts w:ascii="Minion Pro" w:hAnsi="Minion Pro" w:cs="Minion Pro"/>
          <w:sz w:val="20"/>
          <w:szCs w:val="20"/>
        </w:rPr>
        <w:t>GTEx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normal brain tissue (n = 1,152; red) and TCGA glioma samples (n = 702; blue). Each dot represents an individual sample. Statistical significance was assessed using the Wilcoxon rank-sum test (P &lt; 2.2×10⁻¹⁶).</w:t>
      </w:r>
    </w:p>
    <w:p w14:paraId="2D42D160" w14:textId="1C2AD97D" w:rsidR="00923413" w:rsidRDefault="00923413" w:rsidP="00923413">
      <w:pPr>
        <w:pStyle w:val="font-claude-response-body"/>
        <w:spacing w:before="0" w:beforeAutospacing="0" w:after="60" w:afterAutospacing="0"/>
        <w:rPr>
          <w:rFonts w:ascii="Minion Pro" w:hAnsi="Minion Pro" w:cs="Minion Pro"/>
          <w:sz w:val="20"/>
          <w:szCs w:val="20"/>
          <w:highlight w:val="lightGray"/>
        </w:rPr>
      </w:pPr>
      <w:r w:rsidRPr="008D1599">
        <w:rPr>
          <w:rFonts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3433E27" wp14:editId="5AFED072">
            <wp:simplePos x="0" y="0"/>
            <wp:positionH relativeFrom="column">
              <wp:posOffset>123398</wp:posOffset>
            </wp:positionH>
            <wp:positionV relativeFrom="paragraph">
              <wp:posOffset>54402</wp:posOffset>
            </wp:positionV>
            <wp:extent cx="5270400" cy="7016400"/>
            <wp:effectExtent l="0" t="0" r="635" b="0"/>
            <wp:wrapTopAndBottom/>
            <wp:docPr id="14946075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607512" name="图片 149460751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701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1599">
        <w:rPr>
          <w:rFonts w:ascii="Minion Pro" w:hAnsi="Minion Pro" w:cs="Minion Pro"/>
          <w:b/>
          <w:bCs/>
          <w:sz w:val="20"/>
          <w:szCs w:val="20"/>
        </w:rPr>
        <w:t>Supplementary Figure S</w:t>
      </w:r>
      <w:r w:rsidRPr="008D1599">
        <w:rPr>
          <w:rFonts w:ascii="Minion Pro" w:hAnsi="Minion Pro" w:cs="Minion Pro" w:hint="eastAsia"/>
          <w:b/>
          <w:bCs/>
          <w:sz w:val="20"/>
          <w:szCs w:val="20"/>
        </w:rPr>
        <w:t>3</w:t>
      </w:r>
      <w:r w:rsidRPr="008D1599">
        <w:rPr>
          <w:rFonts w:ascii="Minion Pro" w:hAnsi="Minion Pro" w:cs="Minion Pro" w:hint="eastAsia"/>
          <w:sz w:val="20"/>
          <w:szCs w:val="20"/>
        </w:rPr>
        <w:t>.</w:t>
      </w:r>
      <w:r>
        <w:t xml:space="preserve"> </w:t>
      </w:r>
      <w:r>
        <w:rPr>
          <w:rFonts w:ascii="Minion Pro" w:hAnsi="Minion Pro" w:cs="Minion Pro"/>
          <w:sz w:val="20"/>
          <w:szCs w:val="20"/>
        </w:rPr>
        <w:t>UCP2 expression across glioma cell lines in the Cancer Cell Line Encyclopedia (CCLE).</w:t>
      </w:r>
      <w:r>
        <w:t xml:space="preserve"> </w:t>
      </w:r>
      <w:r>
        <w:rPr>
          <w:rFonts w:ascii="Minion Pro" w:hAnsi="Minion Pro" w:cs="Minion Pro"/>
          <w:sz w:val="20"/>
          <w:szCs w:val="20"/>
        </w:rPr>
        <w:t>Bar plot showing UCP2 expression levels (log₂(TPM+1)) across 74 unique glioma cell lines derived from the CCLE dataset (</w:t>
      </w:r>
      <w:proofErr w:type="spellStart"/>
      <w:r>
        <w:rPr>
          <w:rFonts w:ascii="Minion Pro" w:hAnsi="Minion Pro" w:cs="Minion Pro"/>
          <w:sz w:val="20"/>
          <w:szCs w:val="20"/>
        </w:rPr>
        <w:t>DepMap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portal, 24Q4 release). Cell lines are ordered by decreasing UCP2 expression along the y-axis. Bars are </w:t>
      </w:r>
      <w:proofErr w:type="spellStart"/>
      <w:r>
        <w:rPr>
          <w:rFonts w:ascii="Minion Pro" w:hAnsi="Minion Pro" w:cs="Minion Pro"/>
          <w:sz w:val="20"/>
          <w:szCs w:val="20"/>
        </w:rPr>
        <w:t>coloured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by </w:t>
      </w:r>
      <w:proofErr w:type="spellStart"/>
      <w:r>
        <w:rPr>
          <w:rFonts w:ascii="Minion Pro" w:hAnsi="Minion Pro" w:cs="Minion Pro"/>
          <w:sz w:val="20"/>
          <w:szCs w:val="20"/>
        </w:rPr>
        <w:t>OncotreeSubtype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classification as indicated in the legend. The dashed vertical line indicates the median UCP2 expression value (median = 4.09 log₂(TPM+1)). One cell line (TB096, Astrocytoma IDH-Mutant) showed no detectable UCP2 expression (value = 0).</w:t>
      </w:r>
    </w:p>
    <w:p w14:paraId="0C6EB312" w14:textId="2484F800" w:rsidR="00923413" w:rsidRDefault="00923413" w:rsidP="00E14C2B"/>
    <w:p w14:paraId="26FE7E66" w14:textId="28D230F2" w:rsidR="00923413" w:rsidRDefault="00923413" w:rsidP="00923413">
      <w:pPr>
        <w:pStyle w:val="font-claude-response-body"/>
        <w:spacing w:before="0" w:beforeAutospacing="0" w:after="60" w:afterAutospacing="0"/>
        <w:rPr>
          <w:rFonts w:ascii="Times New Roman" w:hAnsi="Times New Roman" w:cs="Times New Roman"/>
          <w:sz w:val="20"/>
          <w:szCs w:val="20"/>
        </w:rPr>
      </w:pPr>
      <w:r w:rsidRPr="008D1599">
        <w:rPr>
          <w:rFonts w:hint="eastAsia"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9238C9C" wp14:editId="5CB9B26C">
            <wp:simplePos x="0" y="0"/>
            <wp:positionH relativeFrom="column">
              <wp:posOffset>3810</wp:posOffset>
            </wp:positionH>
            <wp:positionV relativeFrom="paragraph">
              <wp:posOffset>55693</wp:posOffset>
            </wp:positionV>
            <wp:extent cx="5270400" cy="6375600"/>
            <wp:effectExtent l="0" t="0" r="635" b="0"/>
            <wp:wrapTopAndBottom/>
            <wp:docPr id="18372833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283327" name="图片 183728332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637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1599">
        <w:rPr>
          <w:rFonts w:ascii="Minion Pro" w:hAnsi="Minion Pro" w:cs="Minion Pro"/>
          <w:b/>
          <w:bCs/>
          <w:sz w:val="20"/>
          <w:szCs w:val="20"/>
        </w:rPr>
        <w:t>Supplementary Figure S</w:t>
      </w:r>
      <w:r w:rsidRPr="008D1599">
        <w:rPr>
          <w:rFonts w:ascii="Minion Pro" w:hAnsi="Minion Pro" w:cs="Minion Pro" w:hint="eastAsia"/>
          <w:b/>
          <w:bCs/>
          <w:sz w:val="20"/>
          <w:szCs w:val="20"/>
        </w:rPr>
        <w:t>4</w:t>
      </w:r>
      <w:r>
        <w:rPr>
          <w:rFonts w:ascii="Minion Pro" w:hAnsi="Minion Pro" w:cs="Minion Pro"/>
          <w:sz w:val="20"/>
          <w:szCs w:val="20"/>
        </w:rPr>
        <w:t xml:space="preserve">. Differential gene expression and gene set enrichment analysis between UCP2-high and UCP2-low glioma groups. (A) Volcano plot of differentially expressed genes (DEGs) between UCP2-high and UCP2-low TCGA glioma samples (n = 670), identified using the </w:t>
      </w:r>
      <w:proofErr w:type="spellStart"/>
      <w:r>
        <w:rPr>
          <w:rFonts w:ascii="Minion Pro" w:hAnsi="Minion Pro" w:cs="Minion Pro"/>
          <w:sz w:val="20"/>
          <w:szCs w:val="20"/>
        </w:rPr>
        <w:t>limma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R package (|log2FC| &gt; 1, FDR &lt; 0.05). Red and blue dots indicate significantly upregulated and downregulated genes, respectively; grey dots represent non-significant genes. The orange diamond indicates UCP2. Selected hub genes (from PPI network analysis) and top statistically ranked genes are labelled. Dashed lines indicate thresholds of |log2FC| = 1 and FDR = 0.05 (−log10 P scale). (B) Bar plot of the top 10 activated and top 10 suppressed Gene Ontology Biological Process (GO BP) gene sets from Gene Set Enrichment Analysis (GSEA) of the full log2FC-ranked gene list (FDR &lt; 0.05). Bars represent </w:t>
      </w:r>
      <w:proofErr w:type="spellStart"/>
      <w:r>
        <w:rPr>
          <w:rFonts w:ascii="Minion Pro" w:hAnsi="Minion Pro" w:cs="Minion Pro"/>
          <w:sz w:val="20"/>
          <w:szCs w:val="20"/>
        </w:rPr>
        <w:t>Normalised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Enrichment Scores (NES); FDR-adjusted p values are annotated at bar ends.</w:t>
      </w:r>
    </w:p>
    <w:p w14:paraId="43EF2D27" w14:textId="057306A2" w:rsidR="00923413" w:rsidRDefault="00923413" w:rsidP="00E14C2B"/>
    <w:p w14:paraId="4EE9CC41" w14:textId="77777777" w:rsidR="00923413" w:rsidRDefault="00923413" w:rsidP="00E14C2B"/>
    <w:p w14:paraId="7B03BFA4" w14:textId="39E20918" w:rsidR="00975212" w:rsidRDefault="00975212" w:rsidP="008D1599">
      <w:pPr>
        <w:spacing w:after="60"/>
        <w:rPr>
          <w:rFonts w:ascii="Times New Roman" w:hAnsi="Times New Roman" w:cs="Times New Roman"/>
          <w:sz w:val="20"/>
          <w:szCs w:val="20"/>
        </w:rPr>
      </w:pPr>
      <w:r w:rsidRPr="008D1599">
        <w:rPr>
          <w:rFonts w:hint="eastAsia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9C245BB" wp14:editId="49F4D129">
            <wp:simplePos x="0" y="0"/>
            <wp:positionH relativeFrom="column">
              <wp:posOffset>235522</wp:posOffset>
            </wp:positionH>
            <wp:positionV relativeFrom="paragraph">
              <wp:posOffset>44481</wp:posOffset>
            </wp:positionV>
            <wp:extent cx="4637405" cy="5610225"/>
            <wp:effectExtent l="0" t="0" r="0" b="3175"/>
            <wp:wrapTopAndBottom/>
            <wp:docPr id="9896052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605232" name="图片 98960523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7405" cy="561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1599">
        <w:rPr>
          <w:rFonts w:ascii="Minion Pro" w:hAnsi="Minion Pro" w:cs="Minion Pro"/>
          <w:b/>
          <w:bCs/>
          <w:sz w:val="20"/>
          <w:szCs w:val="20"/>
        </w:rPr>
        <w:t>Supplementary Figure S</w:t>
      </w:r>
      <w:r w:rsidRPr="008D1599">
        <w:rPr>
          <w:rFonts w:ascii="Minion Pro" w:hAnsi="Minion Pro" w:cs="Minion Pro" w:hint="eastAsia"/>
          <w:b/>
          <w:bCs/>
          <w:sz w:val="20"/>
          <w:szCs w:val="20"/>
        </w:rPr>
        <w:t>5</w:t>
      </w:r>
      <w:r w:rsidRPr="008D1599">
        <w:rPr>
          <w:rFonts w:ascii="Minion Pro" w:hAnsi="Minion Pro" w:cs="Minion Pro"/>
          <w:sz w:val="20"/>
          <w:szCs w:val="20"/>
        </w:rPr>
        <w:t>.</w:t>
      </w:r>
      <w:r>
        <w:rPr>
          <w:rFonts w:ascii="Minion Pro" w:hAnsi="Minion Pro" w:cs="Minion Pro"/>
          <w:sz w:val="20"/>
          <w:szCs w:val="20"/>
        </w:rPr>
        <w:t xml:space="preserve"> UCP2 expression correlates with lactate metabolism-related genes and macrophage infiltration in </w:t>
      </w:r>
      <w:r w:rsidR="008D1599">
        <w:rPr>
          <w:rFonts w:ascii="Minion Pro" w:hAnsi="Minion Pro" w:cs="Minion Pro"/>
          <w:sz w:val="20"/>
          <w:szCs w:val="20"/>
        </w:rPr>
        <w:t>glioma.</w:t>
      </w:r>
      <w:r w:rsidR="008D1599">
        <w:rPr>
          <w:rStyle w:val="ae"/>
          <w:rFonts w:ascii="Minion Pro" w:hAnsi="Minion Pro" w:cs="Minion Pro"/>
          <w:sz w:val="20"/>
          <w:szCs w:val="20"/>
        </w:rPr>
        <w:t xml:space="preserve"> (</w:t>
      </w:r>
      <w:r>
        <w:rPr>
          <w:rStyle w:val="ae"/>
          <w:rFonts w:ascii="Minion Pro" w:hAnsi="Minion Pro" w:cs="Minion Pro"/>
          <w:sz w:val="20"/>
          <w:szCs w:val="20"/>
        </w:rPr>
        <w:t>A)</w:t>
      </w:r>
      <w:r>
        <w:rPr>
          <w:rFonts w:ascii="Minion Pro" w:hAnsi="Minion Pro" w:cs="Minion Pro"/>
          <w:b/>
          <w:bCs/>
          <w:sz w:val="20"/>
          <w:szCs w:val="20"/>
        </w:rPr>
        <w:t xml:space="preserve"> </w:t>
      </w:r>
      <w:r>
        <w:rPr>
          <w:rFonts w:ascii="Minion Pro" w:hAnsi="Minion Pro" w:cs="Minion Pro"/>
          <w:sz w:val="20"/>
          <w:szCs w:val="20"/>
        </w:rPr>
        <w:t>Scatter plots showing Spearman correlations between UCP2 and seven lactate metabolism-related genes across TCGA glioma samples (n = 670). Blue points indicate positive correlations; red points indicate negative correlations. Regression lines with 95% confidence intervals are shown. Spearman ρ, raw p-value, and Benjamini–Hochberg-adjusted p-value (</w:t>
      </w:r>
      <w:proofErr w:type="spellStart"/>
      <w:r>
        <w:rPr>
          <w:rFonts w:ascii="Minion Pro" w:hAnsi="Minion Pro" w:cs="Minion Pro"/>
          <w:sz w:val="20"/>
          <w:szCs w:val="20"/>
        </w:rPr>
        <w:t>p.adj</w:t>
      </w:r>
      <w:proofErr w:type="spellEnd"/>
      <w:r>
        <w:rPr>
          <w:rFonts w:ascii="Minion Pro" w:hAnsi="Minion Pro" w:cs="Minion Pro"/>
          <w:sz w:val="20"/>
          <w:szCs w:val="20"/>
        </w:rPr>
        <w:t>) are displayed within each panel.</w:t>
      </w:r>
      <w:r>
        <w:rPr>
          <w:rStyle w:val="ae"/>
          <w:rFonts w:ascii="Minion Pro" w:hAnsi="Minion Pro" w:cs="Minion Pro"/>
          <w:sz w:val="20"/>
          <w:szCs w:val="20"/>
        </w:rPr>
        <w:t xml:space="preserve"> (B)</w:t>
      </w:r>
      <w:r>
        <w:rPr>
          <w:rFonts w:ascii="Minion Pro" w:hAnsi="Minion Pro" w:cs="Minion Pro"/>
          <w:sz w:val="20"/>
          <w:szCs w:val="20"/>
        </w:rPr>
        <w:t xml:space="preserve"> Scatter plot showing the Spearman correlation between UCP2 and CD68 mRNA expression across TCGA glioma samples (n = 670). The strong positive correlation (ρ = 0.862, p = 7.17×10⁻¹⁹⁹) confirms that the UCP2 transcriptomic signal in bulk glioma tissue is predominantly attributable to</w:t>
      </w:r>
      <w:r>
        <w:rPr>
          <w:rFonts w:ascii="Minion Pro" w:hAnsi="Minion Pro" w:cs="Minion Pro" w:hint="eastAsia"/>
          <w:sz w:val="20"/>
          <w:szCs w:val="20"/>
        </w:rPr>
        <w:t xml:space="preserve"> </w:t>
      </w:r>
      <w:r>
        <w:rPr>
          <w:rFonts w:ascii="Minion Pro" w:hAnsi="Minion Pro" w:cs="Minion Pro"/>
          <w:sz w:val="20"/>
          <w:szCs w:val="20"/>
        </w:rPr>
        <w:t>macrophage/microglial infiltration.</w:t>
      </w:r>
      <w:r>
        <w:rPr>
          <w:rStyle w:val="ae"/>
          <w:rFonts w:ascii="Minion Pro" w:hAnsi="Minion Pro" w:cs="Minion Pro"/>
          <w:sz w:val="20"/>
          <w:szCs w:val="20"/>
        </w:rPr>
        <w:t xml:space="preserve"> (C)</w:t>
      </w:r>
      <w:r>
        <w:rPr>
          <w:rFonts w:ascii="Minion Pro" w:hAnsi="Minion Pro" w:cs="Minion Pro"/>
          <w:sz w:val="20"/>
          <w:szCs w:val="20"/>
        </w:rPr>
        <w:t xml:space="preserve"> Scatter plot of UCP2 versus CD68 expression, with points </w:t>
      </w:r>
      <w:proofErr w:type="spellStart"/>
      <w:r>
        <w:rPr>
          <w:rFonts w:ascii="Minion Pro" w:hAnsi="Minion Pro" w:cs="Minion Pro"/>
          <w:sz w:val="20"/>
          <w:szCs w:val="20"/>
        </w:rPr>
        <w:t>coloured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by ESTIMATE Score group (red, high ESTIMATE Score; blue, low ESTIMATE Score). Both raw Spearman correlation and partial Spearman correlation controlling for ESTIMATE Score are displayed. The persistence of a highly significant partial correlation (ρ = 0.524, p = 1.80×10⁻⁴⁸) confirms that the UCP2–CD68 association is independent of </w:t>
      </w:r>
      <w:proofErr w:type="spellStart"/>
      <w:r>
        <w:rPr>
          <w:rFonts w:ascii="Minion Pro" w:hAnsi="Minion Pro" w:cs="Minion Pro"/>
          <w:sz w:val="20"/>
          <w:szCs w:val="20"/>
        </w:rPr>
        <w:t>tumour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purity variation.</w:t>
      </w:r>
    </w:p>
    <w:p w14:paraId="0C6D6B4A" w14:textId="42DC3CCE" w:rsidR="00923413" w:rsidRDefault="00923413" w:rsidP="00E14C2B"/>
    <w:p w14:paraId="196A1D2A" w14:textId="10D53CCB" w:rsidR="00975212" w:rsidRDefault="00975212" w:rsidP="00975212">
      <w:pPr>
        <w:pStyle w:val="font-claude-response-body"/>
        <w:spacing w:before="0" w:beforeAutospacing="0" w:after="60" w:afterAutospacing="0"/>
        <w:rPr>
          <w:rFonts w:ascii="Times New Roman" w:hAnsi="Times New Roman" w:cs="Times New Roman"/>
          <w:sz w:val="20"/>
          <w:szCs w:val="20"/>
        </w:rPr>
      </w:pPr>
      <w:r w:rsidRPr="008D1599">
        <w:rPr>
          <w:rFonts w:hint="eastAsia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14916420" wp14:editId="5F89F124">
            <wp:simplePos x="0" y="0"/>
            <wp:positionH relativeFrom="column">
              <wp:posOffset>3810</wp:posOffset>
            </wp:positionH>
            <wp:positionV relativeFrom="paragraph">
              <wp:posOffset>64187</wp:posOffset>
            </wp:positionV>
            <wp:extent cx="5270400" cy="6375600"/>
            <wp:effectExtent l="0" t="0" r="635" b="0"/>
            <wp:wrapTopAndBottom/>
            <wp:docPr id="6431694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169446" name="图片 64316944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400" cy="637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1599">
        <w:rPr>
          <w:rFonts w:ascii="Minion Pro" w:hAnsi="Minion Pro" w:cs="Minion Pro"/>
          <w:b/>
          <w:bCs/>
          <w:sz w:val="20"/>
          <w:szCs w:val="20"/>
        </w:rPr>
        <w:t>Supplementary Figure S</w:t>
      </w:r>
      <w:r>
        <w:rPr>
          <w:rFonts w:ascii="Minion Pro" w:hAnsi="Minion Pro" w:cs="Minion Pro" w:hint="eastAsia"/>
          <w:b/>
          <w:bCs/>
          <w:sz w:val="20"/>
          <w:szCs w:val="20"/>
        </w:rPr>
        <w:t>6</w:t>
      </w:r>
      <w:r>
        <w:rPr>
          <w:rFonts w:ascii="Minion Pro" w:hAnsi="Minion Pro" w:cs="Minion Pro"/>
          <w:sz w:val="20"/>
          <w:szCs w:val="20"/>
        </w:rPr>
        <w:t xml:space="preserve">. UCP2 expression progressively increases along the </w:t>
      </w:r>
      <w:proofErr w:type="spellStart"/>
      <w:r>
        <w:rPr>
          <w:rFonts w:ascii="Minion Pro" w:hAnsi="Minion Pro" w:cs="Minion Pro"/>
          <w:sz w:val="20"/>
          <w:szCs w:val="20"/>
        </w:rPr>
        <w:t>tumour</w:t>
      </w:r>
      <w:proofErr w:type="spellEnd"/>
      <w:r>
        <w:rPr>
          <w:rFonts w:ascii="Minion Pro" w:hAnsi="Minion Pro" w:cs="Minion Pro"/>
          <w:sz w:val="20"/>
          <w:szCs w:val="20"/>
        </w:rPr>
        <w:t xml:space="preserve">-associated macrophage (TAM) immunosuppressive </w:t>
      </w:r>
      <w:proofErr w:type="spellStart"/>
      <w:r>
        <w:rPr>
          <w:rFonts w:ascii="Minion Pro" w:hAnsi="Minion Pro" w:cs="Minion Pro"/>
          <w:sz w:val="20"/>
          <w:szCs w:val="20"/>
        </w:rPr>
        <w:t>pseudotime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trajectory.(A) UMAP embedding of the pooled TAM population (n = 1,575) </w:t>
      </w:r>
      <w:proofErr w:type="spellStart"/>
      <w:r>
        <w:rPr>
          <w:rFonts w:ascii="Minion Pro" w:hAnsi="Minion Pro" w:cs="Minion Pro"/>
          <w:sz w:val="20"/>
          <w:szCs w:val="20"/>
        </w:rPr>
        <w:t>coloured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by inferred Slingshot </w:t>
      </w:r>
      <w:proofErr w:type="spellStart"/>
      <w:r>
        <w:rPr>
          <w:rFonts w:ascii="Minion Pro" w:hAnsi="Minion Pro" w:cs="Minion Pro"/>
          <w:sz w:val="20"/>
          <w:szCs w:val="20"/>
        </w:rPr>
        <w:t>pseudotime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value.(B) UCP2 expression plotted against </w:t>
      </w:r>
      <w:proofErr w:type="spellStart"/>
      <w:r>
        <w:rPr>
          <w:rFonts w:ascii="Minion Pro" w:hAnsi="Minion Pro" w:cs="Minion Pro"/>
          <w:sz w:val="20"/>
          <w:szCs w:val="20"/>
        </w:rPr>
        <w:t>pseudotime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across three </w:t>
      </w:r>
      <w:proofErr w:type="spellStart"/>
      <w:r>
        <w:rPr>
          <w:rFonts w:ascii="Minion Pro" w:hAnsi="Minion Pro" w:cs="Minion Pro"/>
          <w:sz w:val="20"/>
          <w:szCs w:val="20"/>
        </w:rPr>
        <w:t>scRNA</w:t>
      </w:r>
      <w:proofErr w:type="spellEnd"/>
      <w:r>
        <w:rPr>
          <w:rFonts w:ascii="Minion Pro" w:hAnsi="Minion Pro" w:cs="Minion Pro"/>
          <w:sz w:val="20"/>
          <w:szCs w:val="20"/>
        </w:rPr>
        <w:t>-seq cohorts (</w:t>
      </w:r>
      <w:proofErr w:type="spellStart"/>
      <w:r>
        <w:rPr>
          <w:rFonts w:ascii="Minion Pro" w:hAnsi="Minion Pro" w:cs="Minion Pro"/>
          <w:sz w:val="20"/>
          <w:szCs w:val="20"/>
        </w:rPr>
        <w:t>coloured</w:t>
      </w:r>
      <w:proofErr w:type="spellEnd"/>
      <w:r>
        <w:rPr>
          <w:rFonts w:ascii="Minion Pro" w:hAnsi="Minion Pro" w:cs="Minion Pro"/>
          <w:sz w:val="20"/>
          <w:szCs w:val="20"/>
        </w:rPr>
        <w:t xml:space="preserve"> by dataset); loess regression line with 95% CI shown (Spearman rho = 0.217, p = 2.89e-18).(C) Expression dynamics of immunosuppressive markers (UCP2,HAVCR2, CD163, MRC1) and pro-inflammatory markers (TNF,CD86) along </w:t>
      </w:r>
      <w:proofErr w:type="spellStart"/>
      <w:r>
        <w:rPr>
          <w:rFonts w:ascii="Minion Pro" w:hAnsi="Minion Pro" w:cs="Minion Pro"/>
          <w:sz w:val="20"/>
          <w:szCs w:val="20"/>
        </w:rPr>
        <w:t>pseudotime</w:t>
      </w:r>
      <w:proofErr w:type="spellEnd"/>
      <w:r>
        <w:rPr>
          <w:rFonts w:ascii="Minion Pro" w:hAnsi="Minion Pro" w:cs="Minion Pro"/>
          <w:sz w:val="20"/>
          <w:szCs w:val="20"/>
        </w:rPr>
        <w:t xml:space="preserve">.(D) M1 and M2 module scores along </w:t>
      </w:r>
      <w:proofErr w:type="spellStart"/>
      <w:r>
        <w:rPr>
          <w:rFonts w:ascii="Minion Pro" w:hAnsi="Minion Pro" w:cs="Minion Pro"/>
          <w:sz w:val="20"/>
          <w:szCs w:val="20"/>
        </w:rPr>
        <w:t>pseudotime</w:t>
      </w:r>
      <w:proofErr w:type="spellEnd"/>
      <w:r>
        <w:rPr>
          <w:rFonts w:ascii="Minion Pro" w:hAnsi="Minion Pro" w:cs="Minion Pro"/>
          <w:sz w:val="20"/>
          <w:szCs w:val="20"/>
        </w:rPr>
        <w:t>. M2 increases (rho = 0.149, p = 3.09e-09); M1 decreases (rho = -0.065, p = 0.0099).</w:t>
      </w:r>
    </w:p>
    <w:p w14:paraId="29A33EE9" w14:textId="4992690F" w:rsidR="00975212" w:rsidRDefault="00975212" w:rsidP="00E14C2B"/>
    <w:p w14:paraId="681E8A7E" w14:textId="77777777" w:rsidR="002F400A" w:rsidRDefault="002F400A" w:rsidP="00E14C2B"/>
    <w:p w14:paraId="6E5D954A" w14:textId="77777777" w:rsidR="002F400A" w:rsidRDefault="002F400A" w:rsidP="00E14C2B"/>
    <w:p w14:paraId="718D8CD0" w14:textId="471E4BDF" w:rsidR="002F400A" w:rsidRPr="008D1599" w:rsidRDefault="002F400A" w:rsidP="008D1599">
      <w:pPr>
        <w:widowControl/>
        <w:jc w:val="left"/>
        <w:rPr>
          <w:rFonts w:hint="eastAsia"/>
        </w:rPr>
      </w:pPr>
    </w:p>
    <w:sectPr w:rsidR="002F400A" w:rsidRPr="008D1599" w:rsidSect="00402097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nion Pro">
    <w:altName w:val="Times New Roman"/>
    <w:panose1 w:val="020B0604020202020204"/>
    <w:charset w:val="00"/>
    <w:family w:val="roman"/>
    <w:pitch w:val="default"/>
    <w:sig w:usb0="00000000" w:usb1="00000000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4C2B"/>
    <w:rsid w:val="00036231"/>
    <w:rsid w:val="00043DFA"/>
    <w:rsid w:val="00053CA0"/>
    <w:rsid w:val="00064C1D"/>
    <w:rsid w:val="00064CC6"/>
    <w:rsid w:val="000706F6"/>
    <w:rsid w:val="00071648"/>
    <w:rsid w:val="000753A3"/>
    <w:rsid w:val="000A2673"/>
    <w:rsid w:val="000C4747"/>
    <w:rsid w:val="000C688F"/>
    <w:rsid w:val="000D3ACC"/>
    <w:rsid w:val="000D4F19"/>
    <w:rsid w:val="000D5061"/>
    <w:rsid w:val="000E0F2E"/>
    <w:rsid w:val="000F3EC7"/>
    <w:rsid w:val="00101402"/>
    <w:rsid w:val="00102772"/>
    <w:rsid w:val="00114AA8"/>
    <w:rsid w:val="001231B6"/>
    <w:rsid w:val="00123DDB"/>
    <w:rsid w:val="00126B85"/>
    <w:rsid w:val="00157C3A"/>
    <w:rsid w:val="00163E5B"/>
    <w:rsid w:val="001A1E97"/>
    <w:rsid w:val="001B3CD9"/>
    <w:rsid w:val="001B4C0B"/>
    <w:rsid w:val="001C3D27"/>
    <w:rsid w:val="001C7BD7"/>
    <w:rsid w:val="001D5FAA"/>
    <w:rsid w:val="001E3D75"/>
    <w:rsid w:val="001F6501"/>
    <w:rsid w:val="002163DB"/>
    <w:rsid w:val="00231834"/>
    <w:rsid w:val="00232E13"/>
    <w:rsid w:val="00233B9B"/>
    <w:rsid w:val="00244AD3"/>
    <w:rsid w:val="002553B5"/>
    <w:rsid w:val="00257B9E"/>
    <w:rsid w:val="002769E9"/>
    <w:rsid w:val="0027782B"/>
    <w:rsid w:val="002813F9"/>
    <w:rsid w:val="002A0817"/>
    <w:rsid w:val="002A0F24"/>
    <w:rsid w:val="002A4AD5"/>
    <w:rsid w:val="002A4E93"/>
    <w:rsid w:val="002A5DDB"/>
    <w:rsid w:val="002A6AAA"/>
    <w:rsid w:val="002C414B"/>
    <w:rsid w:val="002C5E3B"/>
    <w:rsid w:val="002C7FC0"/>
    <w:rsid w:val="002D4983"/>
    <w:rsid w:val="002D71C0"/>
    <w:rsid w:val="002E10D1"/>
    <w:rsid w:val="002F0408"/>
    <w:rsid w:val="002F25F4"/>
    <w:rsid w:val="002F400A"/>
    <w:rsid w:val="00302010"/>
    <w:rsid w:val="00326025"/>
    <w:rsid w:val="00337903"/>
    <w:rsid w:val="00340F41"/>
    <w:rsid w:val="00363BF0"/>
    <w:rsid w:val="00381AD1"/>
    <w:rsid w:val="0039508F"/>
    <w:rsid w:val="003B6C95"/>
    <w:rsid w:val="003C4B16"/>
    <w:rsid w:val="003D46E6"/>
    <w:rsid w:val="003F0C3A"/>
    <w:rsid w:val="00401B76"/>
    <w:rsid w:val="00402097"/>
    <w:rsid w:val="004079F8"/>
    <w:rsid w:val="00411913"/>
    <w:rsid w:val="00412C95"/>
    <w:rsid w:val="004246E7"/>
    <w:rsid w:val="00483583"/>
    <w:rsid w:val="00485EA1"/>
    <w:rsid w:val="004C01F6"/>
    <w:rsid w:val="004D012D"/>
    <w:rsid w:val="004D470A"/>
    <w:rsid w:val="004E4D61"/>
    <w:rsid w:val="00511B8B"/>
    <w:rsid w:val="005160D9"/>
    <w:rsid w:val="00517FEB"/>
    <w:rsid w:val="0052207D"/>
    <w:rsid w:val="005249C8"/>
    <w:rsid w:val="00545F2D"/>
    <w:rsid w:val="0054684E"/>
    <w:rsid w:val="00550411"/>
    <w:rsid w:val="005743D3"/>
    <w:rsid w:val="0057624A"/>
    <w:rsid w:val="005843C7"/>
    <w:rsid w:val="00591F81"/>
    <w:rsid w:val="00596C08"/>
    <w:rsid w:val="005A1D84"/>
    <w:rsid w:val="005B5556"/>
    <w:rsid w:val="005C7C2B"/>
    <w:rsid w:val="005E1C8E"/>
    <w:rsid w:val="005E5C95"/>
    <w:rsid w:val="006020F6"/>
    <w:rsid w:val="00626CEC"/>
    <w:rsid w:val="00634309"/>
    <w:rsid w:val="006568AD"/>
    <w:rsid w:val="00664713"/>
    <w:rsid w:val="006835F1"/>
    <w:rsid w:val="006857D0"/>
    <w:rsid w:val="006D0928"/>
    <w:rsid w:val="006D2B98"/>
    <w:rsid w:val="006F7E85"/>
    <w:rsid w:val="007051E0"/>
    <w:rsid w:val="007058CA"/>
    <w:rsid w:val="00712C44"/>
    <w:rsid w:val="00746F98"/>
    <w:rsid w:val="00763015"/>
    <w:rsid w:val="00764F68"/>
    <w:rsid w:val="00776C1E"/>
    <w:rsid w:val="00783272"/>
    <w:rsid w:val="007F19C3"/>
    <w:rsid w:val="008044BB"/>
    <w:rsid w:val="00805FBB"/>
    <w:rsid w:val="008217B8"/>
    <w:rsid w:val="00830E9F"/>
    <w:rsid w:val="00862EDE"/>
    <w:rsid w:val="0089192F"/>
    <w:rsid w:val="0089340C"/>
    <w:rsid w:val="008A4638"/>
    <w:rsid w:val="008B1FC0"/>
    <w:rsid w:val="008D1599"/>
    <w:rsid w:val="008E1CF1"/>
    <w:rsid w:val="009125FF"/>
    <w:rsid w:val="00922A9B"/>
    <w:rsid w:val="00923413"/>
    <w:rsid w:val="00925506"/>
    <w:rsid w:val="00950798"/>
    <w:rsid w:val="00956659"/>
    <w:rsid w:val="00963D42"/>
    <w:rsid w:val="00975212"/>
    <w:rsid w:val="009851BE"/>
    <w:rsid w:val="00985B49"/>
    <w:rsid w:val="00986CA3"/>
    <w:rsid w:val="009B0F41"/>
    <w:rsid w:val="009B42C5"/>
    <w:rsid w:val="009B62B5"/>
    <w:rsid w:val="009C56AE"/>
    <w:rsid w:val="009D0857"/>
    <w:rsid w:val="009E3FC0"/>
    <w:rsid w:val="009E442C"/>
    <w:rsid w:val="009F70FF"/>
    <w:rsid w:val="00A01681"/>
    <w:rsid w:val="00A06827"/>
    <w:rsid w:val="00A10DB4"/>
    <w:rsid w:val="00A176A3"/>
    <w:rsid w:val="00A22BFF"/>
    <w:rsid w:val="00A30D53"/>
    <w:rsid w:val="00A641A4"/>
    <w:rsid w:val="00A73B02"/>
    <w:rsid w:val="00A865BF"/>
    <w:rsid w:val="00AB5DF8"/>
    <w:rsid w:val="00AC5AE0"/>
    <w:rsid w:val="00AC63F1"/>
    <w:rsid w:val="00AC7550"/>
    <w:rsid w:val="00AF54D5"/>
    <w:rsid w:val="00B035C8"/>
    <w:rsid w:val="00B16509"/>
    <w:rsid w:val="00B216D3"/>
    <w:rsid w:val="00B259DC"/>
    <w:rsid w:val="00B665E0"/>
    <w:rsid w:val="00B868BB"/>
    <w:rsid w:val="00B974B7"/>
    <w:rsid w:val="00BA230E"/>
    <w:rsid w:val="00BA39B7"/>
    <w:rsid w:val="00BA5173"/>
    <w:rsid w:val="00BB2FC7"/>
    <w:rsid w:val="00BC18C9"/>
    <w:rsid w:val="00BE7CA9"/>
    <w:rsid w:val="00C035B4"/>
    <w:rsid w:val="00C104A1"/>
    <w:rsid w:val="00C352F7"/>
    <w:rsid w:val="00C71A9A"/>
    <w:rsid w:val="00CB5E39"/>
    <w:rsid w:val="00CE6FF2"/>
    <w:rsid w:val="00CF5B23"/>
    <w:rsid w:val="00D12E7F"/>
    <w:rsid w:val="00D23DCD"/>
    <w:rsid w:val="00D31464"/>
    <w:rsid w:val="00D33304"/>
    <w:rsid w:val="00D43050"/>
    <w:rsid w:val="00D60E56"/>
    <w:rsid w:val="00D777EF"/>
    <w:rsid w:val="00D867F2"/>
    <w:rsid w:val="00D87435"/>
    <w:rsid w:val="00D95094"/>
    <w:rsid w:val="00D97CD6"/>
    <w:rsid w:val="00DB6BE4"/>
    <w:rsid w:val="00DC776D"/>
    <w:rsid w:val="00DD44F4"/>
    <w:rsid w:val="00DE7189"/>
    <w:rsid w:val="00E14C2B"/>
    <w:rsid w:val="00E17819"/>
    <w:rsid w:val="00E27FF4"/>
    <w:rsid w:val="00E527E3"/>
    <w:rsid w:val="00E735D0"/>
    <w:rsid w:val="00E73F0A"/>
    <w:rsid w:val="00E92262"/>
    <w:rsid w:val="00E92790"/>
    <w:rsid w:val="00E97C4C"/>
    <w:rsid w:val="00EA2F40"/>
    <w:rsid w:val="00ED0F44"/>
    <w:rsid w:val="00ED1BF8"/>
    <w:rsid w:val="00ED2350"/>
    <w:rsid w:val="00F1521A"/>
    <w:rsid w:val="00F4333E"/>
    <w:rsid w:val="00F534DE"/>
    <w:rsid w:val="00F567BA"/>
    <w:rsid w:val="00F71CDE"/>
    <w:rsid w:val="00FA78E1"/>
    <w:rsid w:val="00FC04A9"/>
    <w:rsid w:val="00FE1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350DAB"/>
  <w15:chartTrackingRefBased/>
  <w15:docId w15:val="{C90FDF2D-9C1D-D249-9BA0-D3CCF9F3A4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E14C2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4C2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4C2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4C2B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4C2B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4C2B"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4C2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4C2B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4C2B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E14C2B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E14C2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E14C2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E14C2B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E14C2B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E14C2B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E14C2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E14C2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E14C2B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E14C2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E14C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4C2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E14C2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E14C2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E14C2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E14C2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E14C2B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E14C2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E14C2B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E14C2B"/>
    <w:rPr>
      <w:b/>
      <w:bCs/>
      <w:smallCaps/>
      <w:color w:val="2F5496" w:themeColor="accent1" w:themeShade="BF"/>
      <w:spacing w:val="5"/>
    </w:rPr>
  </w:style>
  <w:style w:type="paragraph" w:customStyle="1" w:styleId="font-claude-response-body">
    <w:name w:val="font-claude-response-body"/>
    <w:basedOn w:val="a"/>
    <w:rsid w:val="0092341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character" w:styleId="ae">
    <w:name w:val="Strong"/>
    <w:basedOn w:val="a0"/>
    <w:uiPriority w:val="22"/>
    <w:qFormat/>
    <w:rsid w:val="00975212"/>
    <w:rPr>
      <w:b/>
      <w:bCs/>
    </w:rPr>
  </w:style>
  <w:style w:type="table" w:styleId="af">
    <w:name w:val="Table Grid"/>
    <w:basedOn w:val="a1"/>
    <w:uiPriority w:val="39"/>
    <w:rsid w:val="008D15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670</Words>
  <Characters>3822</Characters>
  <Application>Microsoft Office Word</Application>
  <DocSecurity>0</DocSecurity>
  <Lines>31</Lines>
  <Paragraphs>8</Paragraphs>
  <ScaleCrop>false</ScaleCrop>
  <Company/>
  <LinksUpToDate>false</LinksUpToDate>
  <CharactersWithSpaces>4484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惠 周</dc:creator>
  <cp:keywords/>
  <dc:description/>
  <cp:lastModifiedBy>惠 周</cp:lastModifiedBy>
  <cp:revision>2</cp:revision>
  <dcterms:created xsi:type="dcterms:W3CDTF">2026-05-19T12:57:00Z</dcterms:created>
  <dcterms:modified xsi:type="dcterms:W3CDTF">2026-05-19T12:57:00Z</dcterms:modified>
</cp:coreProperties>
</file>